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A2553D0" w14:textId="77777777" w:rsidR="00803C2A" w:rsidRDefault="00110F21">
      <w:pPr>
        <w:pStyle w:val="Heading1"/>
      </w:pPr>
      <w:bookmarkStart w:id="0" w:name="_GoBack"/>
      <w:bookmarkEnd w:id="0"/>
      <w:r>
        <w:t>Micro Case 30: PID due to Chlamydia Trachomatis</w:t>
      </w:r>
    </w:p>
    <w:p w14:paraId="750D11E0" w14:textId="77777777" w:rsidR="00803C2A" w:rsidRDefault="00803C2A">
      <w:pPr>
        <w:pStyle w:val="normal0"/>
      </w:pPr>
    </w:p>
    <w:p w14:paraId="1173AAE0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t>Presentation</w:t>
      </w:r>
    </w:p>
    <w:p w14:paraId="1D6F0774" w14:textId="77777777" w:rsidR="00803C2A" w:rsidRDefault="00110F21">
      <w:pPr>
        <w:pStyle w:val="normal0"/>
        <w:numPr>
          <w:ilvl w:val="0"/>
          <w:numId w:val="7"/>
        </w:numPr>
        <w:ind w:hanging="360"/>
      </w:pPr>
      <w:r>
        <w:t>27YO woman with lower abdominal pain, vaginal discharge &amp;</w:t>
      </w:r>
      <w:r>
        <w:t xml:space="preserve"> dysuria for 1 week. Fevers and chills over the past 2 days. She had 4 sexual partners over the past year and used condoms occasionally. Was never treated for an STD.</w:t>
      </w:r>
    </w:p>
    <w:p w14:paraId="477DA9D5" w14:textId="77777777" w:rsidR="00803C2A" w:rsidRDefault="00803C2A">
      <w:pPr>
        <w:pStyle w:val="normal0"/>
        <w:ind w:left="1440"/>
      </w:pPr>
    </w:p>
    <w:p w14:paraId="3AE92F2A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t xml:space="preserve">Source of infectious organism: PID due to Chlamydia </w:t>
      </w:r>
      <w:proofErr w:type="spellStart"/>
      <w:r>
        <w:t>Trachomonas</w:t>
      </w:r>
      <w:proofErr w:type="spellEnd"/>
    </w:p>
    <w:p w14:paraId="1EC32F7C" w14:textId="77777777" w:rsidR="00803C2A" w:rsidRDefault="00110F21">
      <w:pPr>
        <w:pStyle w:val="normal0"/>
        <w:numPr>
          <w:ilvl w:val="0"/>
          <w:numId w:val="7"/>
        </w:numPr>
        <w:ind w:hanging="360"/>
      </w:pPr>
      <w:r>
        <w:t>Obligate intracellular b</w:t>
      </w:r>
      <w:r>
        <w:t>acteria</w:t>
      </w:r>
    </w:p>
    <w:p w14:paraId="410157A0" w14:textId="77777777" w:rsidR="00803C2A" w:rsidRDefault="00110F21">
      <w:pPr>
        <w:pStyle w:val="normal0"/>
        <w:numPr>
          <w:ilvl w:val="0"/>
          <w:numId w:val="7"/>
        </w:numPr>
        <w:ind w:hanging="360"/>
      </w:pPr>
      <w:r>
        <w:t>Energy dependent on host epithelial cells</w:t>
      </w:r>
    </w:p>
    <w:p w14:paraId="6B8B7C13" w14:textId="77777777" w:rsidR="00803C2A" w:rsidRDefault="00110F21">
      <w:pPr>
        <w:pStyle w:val="normal0"/>
        <w:numPr>
          <w:ilvl w:val="0"/>
          <w:numId w:val="7"/>
        </w:numPr>
        <w:ind w:hanging="360"/>
      </w:pPr>
      <w:r>
        <w:t>Gram negative</w:t>
      </w:r>
    </w:p>
    <w:p w14:paraId="6123D4C5" w14:textId="77777777" w:rsidR="00803C2A" w:rsidRDefault="00110F21">
      <w:pPr>
        <w:pStyle w:val="normal0"/>
        <w:numPr>
          <w:ilvl w:val="0"/>
          <w:numId w:val="7"/>
        </w:numPr>
        <w:ind w:hanging="360"/>
      </w:pPr>
      <w:r>
        <w:t>Genus specific LPS is the common antigen</w:t>
      </w:r>
    </w:p>
    <w:p w14:paraId="36A66AC0" w14:textId="77777777" w:rsidR="00803C2A" w:rsidRDefault="00110F21">
      <w:pPr>
        <w:pStyle w:val="normal0"/>
        <w:numPr>
          <w:ilvl w:val="0"/>
          <w:numId w:val="7"/>
        </w:numPr>
        <w:ind w:hanging="360"/>
      </w:pPr>
      <w:r>
        <w:t xml:space="preserve">C. </w:t>
      </w:r>
      <w:proofErr w:type="spellStart"/>
      <w:proofErr w:type="gramStart"/>
      <w:r>
        <w:t>trachomonas</w:t>
      </w:r>
      <w:proofErr w:type="spellEnd"/>
      <w:proofErr w:type="gramEnd"/>
      <w:r>
        <w:t xml:space="preserve"> serotypes D-K are the world’s most common STDs</w:t>
      </w:r>
    </w:p>
    <w:p w14:paraId="295A11C8" w14:textId="77777777" w:rsidR="00803C2A" w:rsidRDefault="00803C2A">
      <w:pPr>
        <w:pStyle w:val="normal0"/>
        <w:ind w:left="720"/>
      </w:pPr>
    </w:p>
    <w:p w14:paraId="7F68EAD0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t>Manner of exposure, route of infection, tissues that they reside and transmission to oth</w:t>
      </w:r>
      <w:r>
        <w:t>ers:</w:t>
      </w:r>
    </w:p>
    <w:p w14:paraId="77052080" w14:textId="77777777" w:rsidR="00803C2A" w:rsidRDefault="00110F21">
      <w:pPr>
        <w:pStyle w:val="normal0"/>
        <w:numPr>
          <w:ilvl w:val="0"/>
          <w:numId w:val="6"/>
        </w:numPr>
        <w:ind w:hanging="360"/>
      </w:pPr>
      <w:r>
        <w:t>Sexual contact</w:t>
      </w:r>
    </w:p>
    <w:p w14:paraId="1ABCC0EB" w14:textId="77777777" w:rsidR="00803C2A" w:rsidRDefault="00110F21">
      <w:pPr>
        <w:pStyle w:val="normal0"/>
        <w:numPr>
          <w:ilvl w:val="0"/>
          <w:numId w:val="6"/>
        </w:numPr>
        <w:ind w:hanging="360"/>
      </w:pPr>
      <w:r>
        <w:t>Vertical transmission can cause neonatal conjunctivitis &amp; pneumonia</w:t>
      </w:r>
    </w:p>
    <w:p w14:paraId="5641B8EF" w14:textId="77777777" w:rsidR="00803C2A" w:rsidRDefault="00110F21">
      <w:pPr>
        <w:pStyle w:val="normal0"/>
        <w:numPr>
          <w:ilvl w:val="0"/>
          <w:numId w:val="6"/>
        </w:numPr>
        <w:ind w:hanging="360"/>
      </w:pPr>
      <w:r>
        <w:t>Causes 10% of community acquired pneumonia &amp; 5% of bronchitis &amp; sinusitis</w:t>
      </w:r>
    </w:p>
    <w:p w14:paraId="32608031" w14:textId="77777777" w:rsidR="00803C2A" w:rsidRDefault="00803C2A">
      <w:pPr>
        <w:pStyle w:val="normal0"/>
        <w:ind w:left="1440"/>
      </w:pPr>
    </w:p>
    <w:p w14:paraId="3B22A9B3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t>Pathology:</w:t>
      </w:r>
    </w:p>
    <w:p w14:paraId="3BD4FFF6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>Infection beings with little abrasions during sex on the mucosal surface where the</w:t>
      </w:r>
      <w:r>
        <w:t xml:space="preserve"> elementary body attaches &amp; stimulates uptake into host.</w:t>
      </w:r>
    </w:p>
    <w:p w14:paraId="756C423A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>EB target receptors on the columnar epithelial cells enter the cells of the cervix</w:t>
      </w:r>
    </w:p>
    <w:p w14:paraId="55359E4F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 xml:space="preserve">Internalized EB remain in a vacuole and a cytoplasmic inclusion can be seen with a </w:t>
      </w:r>
      <w:proofErr w:type="spellStart"/>
      <w:r>
        <w:t>Giemsa</w:t>
      </w:r>
      <w:proofErr w:type="spellEnd"/>
      <w:r>
        <w:t xml:space="preserve"> stain or </w:t>
      </w:r>
      <w:proofErr w:type="spellStart"/>
      <w:r>
        <w:t>fluorescene</w:t>
      </w:r>
      <w:proofErr w:type="spellEnd"/>
      <w:r>
        <w:t xml:space="preserve"> antib</w:t>
      </w:r>
      <w:r>
        <w:t>ody stained smear</w:t>
      </w:r>
    </w:p>
    <w:p w14:paraId="050724A1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>The EB differentiates into a reticulate body &amp; these multiply by binary fission</w:t>
      </w:r>
    </w:p>
    <w:p w14:paraId="7E14E57D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>After 8-12 rounds of multiplication they reorganize to EBs &amp; multiplication stops</w:t>
      </w:r>
    </w:p>
    <w:p w14:paraId="02B4E4AD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 xml:space="preserve">At 30-84 hours </w:t>
      </w:r>
      <w:proofErr w:type="spellStart"/>
      <w:r>
        <w:t>postinfection</w:t>
      </w:r>
      <w:proofErr w:type="spellEnd"/>
      <w:r>
        <w:t>, many EBs are released &amp;</w:t>
      </w:r>
      <w:r>
        <w:t xml:space="preserve"> can initiate another cycle of infection</w:t>
      </w:r>
    </w:p>
    <w:p w14:paraId="70B5627D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 xml:space="preserve">Primary genital lesions occur when columnar epithelial cells are destroyed during the acute disease releasing </w:t>
      </w:r>
      <w:proofErr w:type="spellStart"/>
      <w:r>
        <w:t>proinflammatory</w:t>
      </w:r>
      <w:proofErr w:type="spellEnd"/>
      <w:r>
        <w:t xml:space="preserve"> cytokines which recruit </w:t>
      </w:r>
      <w:proofErr w:type="spellStart"/>
      <w:r>
        <w:t>neutophils</w:t>
      </w:r>
      <w:proofErr w:type="spellEnd"/>
      <w:r>
        <w:t xml:space="preserve"> &amp; monocytes</w:t>
      </w:r>
      <w:proofErr w:type="gramStart"/>
      <w:r>
        <w:t>..</w:t>
      </w:r>
      <w:proofErr w:type="gramEnd"/>
      <w:r>
        <w:t xml:space="preserve"> First acute (neutrophils) then chronic (</w:t>
      </w:r>
      <w:r>
        <w:t xml:space="preserve">macrophages &amp; lymphocytes) come and an ineffective immune response </w:t>
      </w:r>
      <w:proofErr w:type="gramStart"/>
      <w:r>
        <w:t>is</w:t>
      </w:r>
      <w:proofErr w:type="gramEnd"/>
      <w:r>
        <w:t xml:space="preserve"> mounted. </w:t>
      </w:r>
    </w:p>
    <w:p w14:paraId="7990449A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 xml:space="preserve">-interferon may induce a persistent disease state, with the altered RB growing more slowly. Tissue necrosis occurs &amp; mononuclear cells aggregate. </w:t>
      </w:r>
    </w:p>
    <w:p w14:paraId="2EA4CE25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 xml:space="preserve">Ascending </w:t>
      </w:r>
      <w:proofErr w:type="spellStart"/>
      <w:r>
        <w:t>extention</w:t>
      </w:r>
      <w:proofErr w:type="spellEnd"/>
      <w:r>
        <w:t xml:space="preserve"> of </w:t>
      </w:r>
      <w:proofErr w:type="spellStart"/>
      <w:r>
        <w:t>chlam</w:t>
      </w:r>
      <w:r>
        <w:t>ydiae</w:t>
      </w:r>
      <w:proofErr w:type="spellEnd"/>
      <w:r>
        <w:t xml:space="preserve"> from the </w:t>
      </w:r>
      <w:proofErr w:type="spellStart"/>
      <w:r>
        <w:t>endocervix</w:t>
      </w:r>
      <w:proofErr w:type="spellEnd"/>
      <w:r>
        <w:t xml:space="preserve"> to the endometrium &amp; </w:t>
      </w:r>
      <w:proofErr w:type="spellStart"/>
      <w:r>
        <w:t>endosalpinx</w:t>
      </w:r>
      <w:proofErr w:type="spellEnd"/>
      <w:r>
        <w:t xml:space="preserve"> is dependent on many endogenous or exogenous factors. Arriving at the upper reproductive tract, C. </w:t>
      </w:r>
      <w:proofErr w:type="spellStart"/>
      <w:r>
        <w:t>trachomonas</w:t>
      </w:r>
      <w:proofErr w:type="spellEnd"/>
      <w:r>
        <w:t xml:space="preserve"> infect the columnar epithelial cells of the fallopian tube but produce little damage b</w:t>
      </w:r>
      <w:r>
        <w:t xml:space="preserve">y direct effect. </w:t>
      </w:r>
    </w:p>
    <w:p w14:paraId="03852136" w14:textId="77777777" w:rsidR="00803C2A" w:rsidRDefault="00110F21">
      <w:pPr>
        <w:pStyle w:val="normal0"/>
        <w:numPr>
          <w:ilvl w:val="0"/>
          <w:numId w:val="5"/>
        </w:numPr>
        <w:ind w:hanging="360"/>
      </w:pPr>
      <w:r>
        <w:t xml:space="preserve">Symptoms of PID are due to the progressively chronic inflammatory disorder, resulting in damage to the uterus, fallopian tubes, and adjacent pelvic structures. </w:t>
      </w:r>
    </w:p>
    <w:p w14:paraId="2557B7D6" w14:textId="77777777" w:rsidR="00803C2A" w:rsidRDefault="00803C2A">
      <w:pPr>
        <w:pStyle w:val="normal0"/>
        <w:ind w:left="720"/>
      </w:pPr>
    </w:p>
    <w:p w14:paraId="31344E75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t>Diagnosis:</w:t>
      </w:r>
    </w:p>
    <w:p w14:paraId="3EB29D72" w14:textId="77777777" w:rsidR="00803C2A" w:rsidRDefault="00110F21">
      <w:pPr>
        <w:pStyle w:val="normal0"/>
        <w:numPr>
          <w:ilvl w:val="0"/>
          <w:numId w:val="3"/>
        </w:numPr>
        <w:ind w:hanging="360"/>
      </w:pPr>
      <w:r>
        <w:t>Diagnosis of PID was made on positive culture results. Culture of</w:t>
      </w:r>
      <w:r>
        <w:t xml:space="preserve"> endometrial aspiration under anaerobic conditions also grew 3 different anaerobic species. </w:t>
      </w:r>
    </w:p>
    <w:p w14:paraId="654EE811" w14:textId="77777777" w:rsidR="00803C2A" w:rsidRDefault="00110F21">
      <w:pPr>
        <w:pStyle w:val="normal0"/>
        <w:numPr>
          <w:ilvl w:val="0"/>
          <w:numId w:val="3"/>
        </w:numPr>
        <w:ind w:hanging="360"/>
      </w:pPr>
      <w:proofErr w:type="gramStart"/>
      <w:r>
        <w:t>Chlamydia are</w:t>
      </w:r>
      <w:proofErr w:type="gramEnd"/>
      <w:r>
        <w:t xml:space="preserve"> obligate intracellular parasites &amp; will NOT grow on media. </w:t>
      </w:r>
    </w:p>
    <w:p w14:paraId="1F29C339" w14:textId="77777777" w:rsidR="00803C2A" w:rsidRDefault="00110F21">
      <w:pPr>
        <w:pStyle w:val="normal0"/>
        <w:numPr>
          <w:ilvl w:val="0"/>
          <w:numId w:val="3"/>
        </w:numPr>
        <w:ind w:hanging="360"/>
      </w:pPr>
      <w:r>
        <w:t>Isolating them in tissue culture is the most specific method (human epithelial cell lines</w:t>
      </w:r>
      <w:r>
        <w:t>)</w:t>
      </w:r>
    </w:p>
    <w:p w14:paraId="20331C87" w14:textId="77777777" w:rsidR="00803C2A" w:rsidRDefault="00110F21">
      <w:pPr>
        <w:pStyle w:val="normal0"/>
        <w:numPr>
          <w:ilvl w:val="0"/>
          <w:numId w:val="3"/>
        </w:numPr>
        <w:ind w:hanging="360"/>
      </w:pPr>
      <w:r>
        <w:t xml:space="preserve">Direct </w:t>
      </w:r>
      <w:proofErr w:type="spellStart"/>
      <w:r>
        <w:t>Immunofluoresence</w:t>
      </w:r>
      <w:proofErr w:type="spellEnd"/>
      <w:r>
        <w:t xml:space="preserve"> staining (IFA)</w:t>
      </w:r>
    </w:p>
    <w:p w14:paraId="63DA3112" w14:textId="77777777" w:rsidR="00803C2A" w:rsidRDefault="00110F21">
      <w:pPr>
        <w:pStyle w:val="normal0"/>
        <w:numPr>
          <w:ilvl w:val="0"/>
          <w:numId w:val="3"/>
        </w:numPr>
        <w:ind w:hanging="360"/>
      </w:pPr>
      <w:r>
        <w:t>ELISA</w:t>
      </w:r>
    </w:p>
    <w:p w14:paraId="44996B10" w14:textId="77777777" w:rsidR="00803C2A" w:rsidRDefault="00110F21">
      <w:pPr>
        <w:pStyle w:val="normal0"/>
        <w:numPr>
          <w:ilvl w:val="0"/>
          <w:numId w:val="3"/>
        </w:numPr>
        <w:ind w:hanging="360"/>
      </w:pPr>
      <w:r>
        <w:t>PCR tests—becoming the norm!!!</w:t>
      </w:r>
    </w:p>
    <w:p w14:paraId="4CAD1164" w14:textId="77777777" w:rsidR="00803C2A" w:rsidRDefault="00110F21">
      <w:pPr>
        <w:pStyle w:val="normal0"/>
        <w:numPr>
          <w:ilvl w:val="0"/>
          <w:numId w:val="3"/>
        </w:numPr>
        <w:ind w:hanging="360"/>
      </w:pPr>
      <w:r>
        <w:t>If all else fails, it can be detected in endometrial biopsy</w:t>
      </w:r>
    </w:p>
    <w:p w14:paraId="2680F53B" w14:textId="77777777" w:rsidR="00803C2A" w:rsidRDefault="00110F21">
      <w:pPr>
        <w:pStyle w:val="normal0"/>
        <w:ind w:left="1440"/>
      </w:pPr>
      <w:r>
        <w:t xml:space="preserve"> </w:t>
      </w:r>
    </w:p>
    <w:p w14:paraId="3C4CB259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lastRenderedPageBreak/>
        <w:t>Epidemiology:</w:t>
      </w:r>
    </w:p>
    <w:p w14:paraId="6562D8F8" w14:textId="77777777" w:rsidR="00803C2A" w:rsidRDefault="00110F21">
      <w:pPr>
        <w:pStyle w:val="normal0"/>
        <w:numPr>
          <w:ilvl w:val="0"/>
          <w:numId w:val="1"/>
        </w:numPr>
        <w:ind w:hanging="360"/>
      </w:pPr>
      <w:r>
        <w:t xml:space="preserve">One of the causative agents of PID </w:t>
      </w:r>
    </w:p>
    <w:p w14:paraId="1C2A9DBA" w14:textId="77777777" w:rsidR="00803C2A" w:rsidRDefault="00110F21">
      <w:pPr>
        <w:pStyle w:val="normal0"/>
        <w:numPr>
          <w:ilvl w:val="0"/>
          <w:numId w:val="1"/>
        </w:numPr>
        <w:ind w:hanging="360"/>
      </w:pPr>
      <w:r>
        <w:t>Most common STD in US</w:t>
      </w:r>
    </w:p>
    <w:p w14:paraId="29F1B72C" w14:textId="77777777" w:rsidR="00803C2A" w:rsidRDefault="00110F21">
      <w:pPr>
        <w:pStyle w:val="normal0"/>
        <w:numPr>
          <w:ilvl w:val="0"/>
          <w:numId w:val="1"/>
        </w:numPr>
        <w:ind w:hanging="360"/>
      </w:pPr>
      <w:r>
        <w:t>Asymptomatic carrier rate of 25% predominan</w:t>
      </w:r>
      <w:r>
        <w:t>tly associated with men</w:t>
      </w:r>
    </w:p>
    <w:p w14:paraId="390CDB37" w14:textId="77777777" w:rsidR="00803C2A" w:rsidRDefault="00110F21">
      <w:pPr>
        <w:pStyle w:val="normal0"/>
        <w:numPr>
          <w:ilvl w:val="0"/>
          <w:numId w:val="1"/>
        </w:numPr>
        <w:ind w:hanging="360"/>
      </w:pPr>
      <w:r>
        <w:t>Risk factors for PID include young age at first intercourse, multiple sex partners, IUDs, insertion, &amp; tobacco smoking</w:t>
      </w:r>
    </w:p>
    <w:p w14:paraId="3D42AAB7" w14:textId="77777777" w:rsidR="00803C2A" w:rsidRDefault="00803C2A">
      <w:pPr>
        <w:pStyle w:val="normal0"/>
        <w:ind w:left="1440"/>
      </w:pPr>
    </w:p>
    <w:p w14:paraId="419C113C" w14:textId="77777777" w:rsidR="00803C2A" w:rsidRDefault="00110F21">
      <w:pPr>
        <w:pStyle w:val="normal0"/>
        <w:numPr>
          <w:ilvl w:val="0"/>
          <w:numId w:val="8"/>
        </w:numPr>
        <w:ind w:hanging="360"/>
      </w:pPr>
      <w:r>
        <w:t xml:space="preserve">Differential diagnosis: </w:t>
      </w:r>
    </w:p>
    <w:p w14:paraId="1B4E1413" w14:textId="77777777" w:rsidR="00803C2A" w:rsidRDefault="00110F21">
      <w:pPr>
        <w:pStyle w:val="normal0"/>
        <w:numPr>
          <w:ilvl w:val="0"/>
          <w:numId w:val="2"/>
        </w:numPr>
        <w:ind w:hanging="360"/>
      </w:pPr>
      <w:proofErr w:type="spellStart"/>
      <w:r>
        <w:t>Actinomyces</w:t>
      </w:r>
      <w:proofErr w:type="spellEnd"/>
      <w:r>
        <w:t xml:space="preserve"> Israeli- often associated with IUDs</w:t>
      </w:r>
    </w:p>
    <w:p w14:paraId="1D64D83F" w14:textId="77777777" w:rsidR="00803C2A" w:rsidRDefault="00110F21">
      <w:pPr>
        <w:pStyle w:val="normal0"/>
        <w:numPr>
          <w:ilvl w:val="0"/>
          <w:numId w:val="2"/>
        </w:numPr>
        <w:ind w:hanging="360"/>
      </w:pPr>
      <w:r>
        <w:t>Enteric gram negative rods- E coli</w:t>
      </w:r>
    </w:p>
    <w:p w14:paraId="40C8BD55" w14:textId="77777777" w:rsidR="00803C2A" w:rsidRDefault="00110F21">
      <w:pPr>
        <w:pStyle w:val="normal0"/>
        <w:numPr>
          <w:ilvl w:val="0"/>
          <w:numId w:val="2"/>
        </w:numPr>
        <w:ind w:hanging="360"/>
      </w:pPr>
      <w:proofErr w:type="spellStart"/>
      <w:r>
        <w:t>Gardnerella</w:t>
      </w:r>
      <w:proofErr w:type="spellEnd"/>
      <w:r>
        <w:t xml:space="preserve"> </w:t>
      </w:r>
      <w:proofErr w:type="spellStart"/>
      <w:r>
        <w:t>vainalis</w:t>
      </w:r>
      <w:proofErr w:type="spellEnd"/>
    </w:p>
    <w:p w14:paraId="7014348D" w14:textId="77777777" w:rsidR="00803C2A" w:rsidRDefault="00110F21">
      <w:pPr>
        <w:pStyle w:val="normal0"/>
        <w:numPr>
          <w:ilvl w:val="0"/>
          <w:numId w:val="2"/>
        </w:numPr>
        <w:ind w:hanging="360"/>
      </w:pPr>
      <w:r>
        <w:t xml:space="preserve">Mycoplasma </w:t>
      </w:r>
      <w:proofErr w:type="spellStart"/>
      <w:r>
        <w:t>hominis</w:t>
      </w:r>
      <w:proofErr w:type="spellEnd"/>
    </w:p>
    <w:p w14:paraId="5230FAC9" w14:textId="77777777" w:rsidR="00803C2A" w:rsidRDefault="00110F21">
      <w:pPr>
        <w:pStyle w:val="normal0"/>
        <w:numPr>
          <w:ilvl w:val="0"/>
          <w:numId w:val="2"/>
        </w:numPr>
        <w:ind w:hanging="360"/>
      </w:pPr>
      <w:r>
        <w:t xml:space="preserve">Neisseria </w:t>
      </w:r>
      <w:proofErr w:type="spellStart"/>
      <w:r>
        <w:t>gonorrhoeae</w:t>
      </w:r>
      <w:proofErr w:type="spellEnd"/>
    </w:p>
    <w:p w14:paraId="3C11CAB6" w14:textId="77777777" w:rsidR="00803C2A" w:rsidRDefault="00110F21">
      <w:pPr>
        <w:pStyle w:val="normal0"/>
        <w:numPr>
          <w:ilvl w:val="0"/>
          <w:numId w:val="2"/>
        </w:numPr>
        <w:ind w:hanging="360"/>
      </w:pPr>
      <w:proofErr w:type="spellStart"/>
      <w:r>
        <w:t>Polymicrobic</w:t>
      </w:r>
      <w:proofErr w:type="spellEnd"/>
      <w:r>
        <w:t xml:space="preserve"> infection</w:t>
      </w:r>
    </w:p>
    <w:p w14:paraId="119A6BDB" w14:textId="77777777" w:rsidR="00803C2A" w:rsidRDefault="00110F21">
      <w:pPr>
        <w:pStyle w:val="normal0"/>
        <w:numPr>
          <w:ilvl w:val="0"/>
          <w:numId w:val="2"/>
        </w:numPr>
        <w:ind w:hanging="360"/>
      </w:pPr>
      <w:r>
        <w:t xml:space="preserve">Streptococcus </w:t>
      </w:r>
      <w:proofErr w:type="spellStart"/>
      <w:r>
        <w:t>agalactiae</w:t>
      </w:r>
      <w:proofErr w:type="spellEnd"/>
    </w:p>
    <w:p w14:paraId="6C286BD3" w14:textId="77777777" w:rsidR="00803C2A" w:rsidRDefault="00110F21">
      <w:pPr>
        <w:pStyle w:val="normal0"/>
        <w:ind w:left="1080"/>
      </w:pPr>
      <w:r>
        <w:t>**Clinical diagnosis of PID should be considered</w:t>
      </w:r>
    </w:p>
    <w:p w14:paraId="65BD717D" w14:textId="77777777" w:rsidR="00803C2A" w:rsidRDefault="00803C2A">
      <w:pPr>
        <w:pStyle w:val="normal0"/>
        <w:ind w:left="1080"/>
      </w:pPr>
    </w:p>
    <w:p w14:paraId="2FB7C1B8" w14:textId="77777777" w:rsidR="00803C2A" w:rsidRDefault="00110F21">
      <w:pPr>
        <w:pStyle w:val="normal0"/>
      </w:pPr>
      <w:r>
        <w:t xml:space="preserve">       8. Prevention:</w:t>
      </w:r>
    </w:p>
    <w:p w14:paraId="378F8C9B" w14:textId="77777777" w:rsidR="00803C2A" w:rsidRDefault="00110F21">
      <w:pPr>
        <w:pStyle w:val="normal0"/>
        <w:numPr>
          <w:ilvl w:val="0"/>
          <w:numId w:val="4"/>
        </w:numPr>
        <w:ind w:hanging="360"/>
      </w:pPr>
      <w:r>
        <w:t>Treat STDs to avoid getting PID</w:t>
      </w:r>
    </w:p>
    <w:p w14:paraId="1911EB34" w14:textId="77777777" w:rsidR="00803C2A" w:rsidRDefault="00110F21">
      <w:pPr>
        <w:pStyle w:val="normal0"/>
        <w:numPr>
          <w:ilvl w:val="0"/>
          <w:numId w:val="4"/>
        </w:numPr>
        <w:ind w:hanging="360"/>
      </w:pPr>
      <w:r>
        <w:t>Abstain from sex or be in a long term w/non STD person</w:t>
      </w:r>
    </w:p>
    <w:p w14:paraId="5F78FC03" w14:textId="77777777" w:rsidR="00803C2A" w:rsidRDefault="00110F21">
      <w:pPr>
        <w:pStyle w:val="normal0"/>
        <w:ind w:left="720"/>
      </w:pPr>
      <w:r>
        <w:t>Treatment:</w:t>
      </w:r>
    </w:p>
    <w:p w14:paraId="3F68DBED" w14:textId="77777777" w:rsidR="00803C2A" w:rsidRDefault="00110F21">
      <w:pPr>
        <w:pStyle w:val="normal0"/>
        <w:numPr>
          <w:ilvl w:val="0"/>
          <w:numId w:val="4"/>
        </w:numPr>
        <w:ind w:hanging="360"/>
      </w:pPr>
      <w:proofErr w:type="spellStart"/>
      <w:r>
        <w:t>Doxycicline</w:t>
      </w:r>
      <w:proofErr w:type="spellEnd"/>
      <w:r>
        <w:t>= DOC for chlamydia</w:t>
      </w:r>
    </w:p>
    <w:p w14:paraId="34C9EEF6" w14:textId="77777777" w:rsidR="00803C2A" w:rsidRDefault="00110F21">
      <w:pPr>
        <w:pStyle w:val="normal0"/>
        <w:numPr>
          <w:ilvl w:val="0"/>
          <w:numId w:val="4"/>
        </w:numPr>
        <w:ind w:hanging="360"/>
      </w:pPr>
      <w:r>
        <w:t>Use Azithromycin for noncompliant patients</w:t>
      </w:r>
    </w:p>
    <w:p w14:paraId="41E1215E" w14:textId="77777777" w:rsidR="00803C2A" w:rsidRDefault="00110F21">
      <w:pPr>
        <w:pStyle w:val="normal0"/>
        <w:numPr>
          <w:ilvl w:val="0"/>
          <w:numId w:val="4"/>
        </w:numPr>
        <w:ind w:hanging="360"/>
      </w:pPr>
      <w:r>
        <w:t xml:space="preserve">Treatment of PID- Use </w:t>
      </w:r>
      <w:proofErr w:type="spellStart"/>
      <w:r>
        <w:t>Cefoxitin</w:t>
      </w:r>
      <w:proofErr w:type="spellEnd"/>
      <w:r>
        <w:t xml:space="preserve"> (to cover organisms from lower bowel &amp; anaerobes) + the Doxy for the chlamydia</w:t>
      </w:r>
    </w:p>
    <w:p w14:paraId="74C9F05B" w14:textId="77777777" w:rsidR="00803C2A" w:rsidRDefault="00803C2A">
      <w:pPr>
        <w:pStyle w:val="normal0"/>
      </w:pPr>
    </w:p>
    <w:sectPr w:rsidR="00803C2A" w:rsidSect="00110F2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C3654"/>
    <w:multiLevelType w:val="multilevel"/>
    <w:tmpl w:val="F146BF5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2C2C553D"/>
    <w:multiLevelType w:val="multilevel"/>
    <w:tmpl w:val="A52E877A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2D165F43"/>
    <w:multiLevelType w:val="multilevel"/>
    <w:tmpl w:val="B8B8F6DE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351F3285"/>
    <w:multiLevelType w:val="multilevel"/>
    <w:tmpl w:val="A432813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43C17F0B"/>
    <w:multiLevelType w:val="multilevel"/>
    <w:tmpl w:val="49744D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632D1214"/>
    <w:multiLevelType w:val="multilevel"/>
    <w:tmpl w:val="6EA2B5E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6">
    <w:nsid w:val="6F2F3C4F"/>
    <w:multiLevelType w:val="multilevel"/>
    <w:tmpl w:val="C1403902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7">
    <w:nsid w:val="7FEF59BB"/>
    <w:multiLevelType w:val="multilevel"/>
    <w:tmpl w:val="3630447C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03C2A"/>
    <w:rsid w:val="00110F21"/>
    <w:rsid w:val="0080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7A0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3089</Characters>
  <Application>Microsoft Macintosh Word</Application>
  <DocSecurity>0</DocSecurity>
  <Lines>25</Lines>
  <Paragraphs>7</Paragraphs>
  <ScaleCrop>false</ScaleCrop>
  <Company>University of Toledo College of Medicine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30-Chlamydia Trachomonas.docx.docx</dc:title>
  <cp:lastModifiedBy>Elisa Furay</cp:lastModifiedBy>
  <cp:revision>2</cp:revision>
  <cp:lastPrinted>2012-11-05T00:42:00Z</cp:lastPrinted>
  <dcterms:created xsi:type="dcterms:W3CDTF">2012-11-05T00:42:00Z</dcterms:created>
  <dcterms:modified xsi:type="dcterms:W3CDTF">2012-11-05T00:42:00Z</dcterms:modified>
</cp:coreProperties>
</file>